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223" w:type="dxa"/>
        <w:tblInd w:w="5" w:type="dxa"/>
        <w:tblLook w:val="04A0" w:firstRow="1" w:lastRow="0" w:firstColumn="1" w:lastColumn="0" w:noHBand="0" w:noVBand="1"/>
      </w:tblPr>
      <w:tblGrid>
        <w:gridCol w:w="930"/>
        <w:gridCol w:w="4226"/>
        <w:gridCol w:w="5927"/>
        <w:gridCol w:w="4140"/>
      </w:tblGrid>
      <w:tr w:rsidR="00E7442E" w:rsidRPr="00C9733B" w14:paraId="58AB5B00" w14:textId="2EFC5F5A" w:rsidTr="00C9733B">
        <w:trPr>
          <w:trHeight w:val="3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13E427" w14:textId="77777777" w:rsidR="00E7442E" w:rsidRPr="00C9733B" w:rsidRDefault="00E7442E" w:rsidP="00DC189E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9733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Sl. No.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2474C7" w14:textId="77777777" w:rsidR="00E7442E" w:rsidRPr="00C9733B" w:rsidRDefault="00E7442E" w:rsidP="00DC189E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9733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Reference Clause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AC1B98" w14:textId="77777777" w:rsidR="00E7442E" w:rsidRPr="00C9733B" w:rsidRDefault="00E7442E" w:rsidP="00DC189E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9733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Bidder's Query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D531" w14:textId="355A727C" w:rsidR="00E7442E" w:rsidRPr="00C9733B" w:rsidRDefault="00E7442E" w:rsidP="00DC189E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9733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POWERGRID REPLY</w:t>
            </w:r>
          </w:p>
        </w:tc>
      </w:tr>
      <w:tr w:rsidR="00C9733B" w:rsidRPr="00C9733B" w14:paraId="7D6F25B9" w14:textId="77777777" w:rsidTr="00C9733B">
        <w:trPr>
          <w:trHeight w:val="1162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96570" w14:textId="77777777" w:rsidR="00C9733B" w:rsidRPr="00C9733B" w:rsidRDefault="00C9733B" w:rsidP="00C9733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22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9428BE2" w14:textId="77777777" w:rsidR="00C9733B" w:rsidRPr="00C9733B" w:rsidRDefault="00C9733B" w:rsidP="00C9733B">
            <w:pPr>
              <w:pStyle w:val="Default"/>
              <w:rPr>
                <w:rFonts w:ascii="Book Antiqua" w:hAnsi="Book Antiqua" w:cs="Arial"/>
                <w:sz w:val="22"/>
                <w:szCs w:val="22"/>
              </w:rPr>
            </w:pPr>
            <w:r w:rsidRPr="00C9733B">
              <w:rPr>
                <w:rFonts w:ascii="Book Antiqua" w:hAnsi="Book Antiqua" w:cs="Arial"/>
                <w:sz w:val="22"/>
                <w:szCs w:val="22"/>
              </w:rPr>
              <w:t>Section Project, Clause no. 2-I</w:t>
            </w:r>
            <w:r w:rsidRPr="00C9733B">
              <w:rPr>
                <w:rFonts w:ascii="Book Antiqua" w:hAnsi="Book Antiqua" w:cs="Arial"/>
                <w:sz w:val="22"/>
                <w:szCs w:val="22"/>
              </w:rPr>
              <w:br/>
            </w:r>
          </w:p>
          <w:p w14:paraId="7E656DD3" w14:textId="28FD0D6F" w:rsidR="00C9733B" w:rsidRPr="00C9733B" w:rsidRDefault="00C9733B" w:rsidP="00C9733B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C9733B">
              <w:rPr>
                <w:rFonts w:ascii="Book Antiqua" w:hAnsi="Book Antiqua" w:cs="Arial"/>
                <w:b/>
                <w:bCs/>
                <w:szCs w:val="22"/>
              </w:rPr>
              <w:t>i.)</w:t>
            </w:r>
            <w:r w:rsidRPr="00C9733B">
              <w:rPr>
                <w:rFonts w:ascii="Book Antiqua" w:hAnsi="Book Antiqua" w:cs="Arial"/>
                <w:szCs w:val="22"/>
              </w:rPr>
              <w:t xml:space="preserve"> Provision of single point 3-Ph, 415V AC Power Source for necessary auxiliary power requirement of MGIS Bay is under present scope.</w:t>
            </w:r>
          </w:p>
        </w:tc>
        <w:tc>
          <w:tcPr>
            <w:tcW w:w="5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7BC50" w14:textId="0EF914DF" w:rsidR="00C9733B" w:rsidRPr="00C9733B" w:rsidRDefault="00C9733B" w:rsidP="00C9733B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C9733B">
              <w:rPr>
                <w:rFonts w:ascii="Book Antiqua" w:hAnsi="Book Antiqua" w:cs="Arial"/>
                <w:color w:val="000000"/>
                <w:szCs w:val="22"/>
              </w:rPr>
              <w:t>Provision and availability of Three Phase AC Supply shall be in the scope of PGCIL. Please confirm.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E00010" w14:textId="04A275AC" w:rsidR="00C9733B" w:rsidRPr="00C9733B" w:rsidRDefault="00C9733B" w:rsidP="00C9733B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C9733B">
              <w:rPr>
                <w:rFonts w:ascii="Book Antiqua" w:hAnsi="Book Antiqua" w:cs="Arial"/>
                <w:szCs w:val="22"/>
              </w:rPr>
              <w:t>The provision of a single-point 3-Phase, 415V AC Power Source for necessary auxiliary power is within the contractor's scope. However, the source of power shall be provided by POWERGRID.</w:t>
            </w:r>
          </w:p>
        </w:tc>
      </w:tr>
      <w:tr w:rsidR="00C9733B" w:rsidRPr="00C9733B" w14:paraId="023B5312" w14:textId="77777777" w:rsidTr="00C9733B">
        <w:trPr>
          <w:trHeight w:val="199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0B86C" w14:textId="77777777" w:rsidR="00C9733B" w:rsidRPr="00C9733B" w:rsidRDefault="00C9733B" w:rsidP="00C9733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905F9" w14:textId="77777777" w:rsidR="00C9733B" w:rsidRPr="00C9733B" w:rsidRDefault="00C9733B" w:rsidP="00C9733B">
            <w:pPr>
              <w:pStyle w:val="Default"/>
              <w:rPr>
                <w:rFonts w:ascii="Book Antiqua" w:hAnsi="Book Antiqua" w:cs="Arial"/>
                <w:sz w:val="22"/>
                <w:szCs w:val="22"/>
              </w:rPr>
            </w:pPr>
            <w:r w:rsidRPr="00C9733B">
              <w:rPr>
                <w:rFonts w:ascii="Book Antiqua" w:hAnsi="Book Antiqua" w:cs="Arial"/>
                <w:sz w:val="22"/>
                <w:szCs w:val="22"/>
              </w:rPr>
              <w:t>Section Project, Clause no. 2-I</w:t>
            </w:r>
            <w:r w:rsidRPr="00C9733B">
              <w:rPr>
                <w:rFonts w:ascii="Book Antiqua" w:hAnsi="Book Antiqua" w:cs="Arial"/>
                <w:sz w:val="22"/>
                <w:szCs w:val="22"/>
              </w:rPr>
              <w:br/>
            </w:r>
          </w:p>
          <w:p w14:paraId="75A00A95" w14:textId="0EB70E08" w:rsidR="00C9733B" w:rsidRPr="00C9733B" w:rsidRDefault="00C9733B" w:rsidP="00C9733B">
            <w:pPr>
              <w:spacing w:after="0" w:line="240" w:lineRule="auto"/>
              <w:jc w:val="both"/>
              <w:rPr>
                <w:rFonts w:ascii="Book Antiqua" w:hAnsi="Book Antiqua"/>
                <w:szCs w:val="22"/>
              </w:rPr>
            </w:pPr>
            <w:r w:rsidRPr="00C9733B">
              <w:rPr>
                <w:rFonts w:ascii="Book Antiqua" w:hAnsi="Book Antiqua" w:cs="Arial"/>
                <w:b/>
                <w:bCs/>
                <w:szCs w:val="22"/>
              </w:rPr>
              <w:t>k.)</w:t>
            </w:r>
            <w:r w:rsidRPr="00C9733B">
              <w:rPr>
                <w:rFonts w:ascii="Book Antiqua" w:hAnsi="Book Antiqua" w:cs="Arial"/>
                <w:szCs w:val="22"/>
              </w:rPr>
              <w:t xml:space="preserve"> As mentioned above six nos. of SF6/Air bushings will remain pre-mounted during transportation of MGIS bay,</w:t>
            </w:r>
          </w:p>
        </w:tc>
        <w:tc>
          <w:tcPr>
            <w:tcW w:w="5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2E001" w14:textId="1FA203F4" w:rsidR="00C9733B" w:rsidRPr="00C9733B" w:rsidRDefault="00C9733B" w:rsidP="00C9733B">
            <w:pPr>
              <w:pStyle w:val="Default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C9733B">
              <w:rPr>
                <w:rFonts w:ascii="Book Antiqua" w:hAnsi="Book Antiqua" w:cs="Arial"/>
                <w:sz w:val="22"/>
                <w:szCs w:val="22"/>
              </w:rPr>
              <w:t>It is not possible to accommodate 6 bushing within the given trailier while maintaining standard container. As standard container will occupy 12m trailer, projected bushings shall hamper Prime mover. So trailer length shall be non-standard with length more than 12m is envisaged.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18532B" w14:textId="257E6037" w:rsidR="00C9733B" w:rsidRPr="00C9733B" w:rsidRDefault="00C9733B" w:rsidP="00C9733B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C9733B">
              <w:rPr>
                <w:rFonts w:ascii="Book Antiqua" w:hAnsi="Book Antiqua" w:cs="Arial"/>
                <w:szCs w:val="22"/>
              </w:rPr>
              <w:t>Bidder to quote as per the provision in Technical Specification.</w:t>
            </w:r>
          </w:p>
        </w:tc>
      </w:tr>
    </w:tbl>
    <w:p w14:paraId="6C360386" w14:textId="77777777" w:rsidR="00316DCA" w:rsidRPr="00C9733B" w:rsidRDefault="00316DCA">
      <w:pPr>
        <w:rPr>
          <w:rFonts w:ascii="Book Antiqua" w:hAnsi="Book Antiqua"/>
          <w:szCs w:val="22"/>
        </w:rPr>
      </w:pPr>
    </w:p>
    <w:sectPr w:rsidR="00316DCA" w:rsidRPr="00C9733B" w:rsidSect="00DC189E">
      <w:headerReference w:type="default" r:id="rId7"/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0010F" w14:textId="77777777" w:rsidR="00E31455" w:rsidRDefault="00E31455" w:rsidP="00BF7E01">
      <w:pPr>
        <w:spacing w:after="0" w:line="240" w:lineRule="auto"/>
      </w:pPr>
      <w:r>
        <w:separator/>
      </w:r>
    </w:p>
  </w:endnote>
  <w:endnote w:type="continuationSeparator" w:id="0">
    <w:p w14:paraId="69BE6A3F" w14:textId="77777777" w:rsidR="00E31455" w:rsidRDefault="00E31455" w:rsidP="00BF7E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5089A" w14:textId="77777777" w:rsidR="00BF7E01" w:rsidRDefault="00BF7E01">
    <w:pPr>
      <w:pStyle w:val="Footer"/>
      <w:jc w:val="center"/>
      <w:rPr>
        <w:color w:val="4472C4" w:themeColor="accent1"/>
      </w:rPr>
    </w:pPr>
  </w:p>
  <w:p w14:paraId="10CDAAC5" w14:textId="05D5E814" w:rsidR="00BF7E01" w:rsidRDefault="00BF7E01">
    <w:pPr>
      <w:pStyle w:val="Footer"/>
      <w:jc w:val="center"/>
      <w:rPr>
        <w:color w:val="4472C4" w:themeColor="accent1"/>
      </w:rPr>
    </w:pPr>
    <w:r>
      <w:rPr>
        <w:color w:val="4472C4" w:themeColor="accent1"/>
      </w:rPr>
      <w:t xml:space="preserve">Page </w:t>
    </w:r>
    <w:r>
      <w:rPr>
        <w:color w:val="4472C4" w:themeColor="accent1"/>
      </w:rPr>
      <w:fldChar w:fldCharType="begin"/>
    </w:r>
    <w:r>
      <w:rPr>
        <w:color w:val="4472C4" w:themeColor="accent1"/>
      </w:rPr>
      <w:instrText xml:space="preserve"> PAGE  \* Arabic  \* MERGEFORMAT </w:instrText>
    </w:r>
    <w:r>
      <w:rPr>
        <w:color w:val="4472C4" w:themeColor="accent1"/>
      </w:rPr>
      <w:fldChar w:fldCharType="separate"/>
    </w:r>
    <w:r>
      <w:rPr>
        <w:noProof/>
        <w:color w:val="4472C4" w:themeColor="accent1"/>
      </w:rPr>
      <w:t>2</w:t>
    </w:r>
    <w:r>
      <w:rPr>
        <w:color w:val="4472C4" w:themeColor="accent1"/>
      </w:rPr>
      <w:fldChar w:fldCharType="end"/>
    </w:r>
    <w:r>
      <w:rPr>
        <w:color w:val="4472C4" w:themeColor="accent1"/>
      </w:rPr>
      <w:t xml:space="preserve"> of </w:t>
    </w:r>
    <w:r>
      <w:rPr>
        <w:color w:val="4472C4" w:themeColor="accent1"/>
      </w:rPr>
      <w:fldChar w:fldCharType="begin"/>
    </w:r>
    <w:r>
      <w:rPr>
        <w:color w:val="4472C4" w:themeColor="accent1"/>
      </w:rPr>
      <w:instrText xml:space="preserve"> NUMPAGES  \* Arabic  \* MERGEFORMAT </w:instrText>
    </w:r>
    <w:r>
      <w:rPr>
        <w:color w:val="4472C4" w:themeColor="accent1"/>
      </w:rPr>
      <w:fldChar w:fldCharType="separate"/>
    </w:r>
    <w:r>
      <w:rPr>
        <w:noProof/>
        <w:color w:val="4472C4" w:themeColor="accent1"/>
      </w:rPr>
      <w:t>2</w:t>
    </w:r>
    <w:r>
      <w:rPr>
        <w:color w:val="4472C4" w:themeColor="accent1"/>
      </w:rPr>
      <w:fldChar w:fldCharType="end"/>
    </w:r>
  </w:p>
  <w:p w14:paraId="6251478E" w14:textId="6D31210C" w:rsidR="00BF7E01" w:rsidRDefault="00BF7E01" w:rsidP="00BF7E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E9B38" w14:textId="77777777" w:rsidR="00E31455" w:rsidRDefault="00E31455" w:rsidP="00BF7E01">
      <w:pPr>
        <w:spacing w:after="0" w:line="240" w:lineRule="auto"/>
      </w:pPr>
      <w:r>
        <w:separator/>
      </w:r>
    </w:p>
  </w:footnote>
  <w:footnote w:type="continuationSeparator" w:id="0">
    <w:p w14:paraId="132D6155" w14:textId="77777777" w:rsidR="00E31455" w:rsidRDefault="00E31455" w:rsidP="00BF7E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0A01A" w14:textId="59734C0A" w:rsidR="008401E2" w:rsidRPr="008401E2" w:rsidRDefault="008401E2" w:rsidP="008401E2">
    <w:pPr>
      <w:autoSpaceDE w:val="0"/>
      <w:autoSpaceDN w:val="0"/>
      <w:adjustRightInd w:val="0"/>
      <w:jc w:val="both"/>
      <w:rPr>
        <w:rFonts w:ascii="Book Antiqua" w:hAnsi="Book Antiqua" w:cs="Arial"/>
        <w:b/>
        <w:bCs/>
        <w:szCs w:val="22"/>
      </w:rPr>
    </w:pPr>
    <w:r>
      <w:rPr>
        <w:rFonts w:ascii="Book Antiqua" w:hAnsi="Book Antiqua" w:cs="Arial"/>
        <w:b/>
        <w:bCs/>
        <w:szCs w:val="22"/>
      </w:rPr>
      <w:t>Clarification</w:t>
    </w:r>
    <w:r w:rsidRPr="006D3E66">
      <w:rPr>
        <w:rFonts w:ascii="Book Antiqua" w:hAnsi="Book Antiqua" w:cs="Arial"/>
        <w:b/>
        <w:bCs/>
        <w:szCs w:val="22"/>
      </w:rPr>
      <w:t xml:space="preserve"> No-</w:t>
    </w:r>
    <w:r w:rsidR="00C0622F">
      <w:rPr>
        <w:rFonts w:ascii="Book Antiqua" w:hAnsi="Book Antiqua" w:cs="Arial"/>
        <w:b/>
        <w:bCs/>
        <w:szCs w:val="22"/>
      </w:rPr>
      <w:t>I</w:t>
    </w:r>
    <w:r w:rsidR="00C9733B">
      <w:rPr>
        <w:rFonts w:ascii="Book Antiqua" w:hAnsi="Book Antiqua" w:cs="Arial"/>
        <w:b/>
        <w:bCs/>
        <w:szCs w:val="22"/>
      </w:rPr>
      <w:t>I</w:t>
    </w:r>
    <w:r w:rsidRPr="006D3E66">
      <w:rPr>
        <w:rFonts w:ascii="Book Antiqua" w:hAnsi="Book Antiqua" w:cs="Arial"/>
        <w:b/>
        <w:bCs/>
        <w:szCs w:val="22"/>
      </w:rPr>
      <w:t xml:space="preserve">I to the bidding documents for </w:t>
    </w:r>
    <w:r w:rsidRPr="008401E2">
      <w:rPr>
        <w:rFonts w:ascii="Book Antiqua" w:hAnsi="Book Antiqua" w:cs="Arial"/>
        <w:b/>
        <w:bCs/>
        <w:szCs w:val="22"/>
      </w:rPr>
      <w:t>Mobile GIS Substation Extn. Package MGIS-113 for Procurement of 01 No each 220kV and 132kV Mobile GIS Bays along with CRP, Auxiliary system etc. for meeting contingency requirement for NER constituents</w:t>
    </w:r>
    <w:r>
      <w:rPr>
        <w:rFonts w:ascii="Book Antiqua" w:hAnsi="Book Antiqua" w:cs="Arial"/>
        <w:b/>
        <w:bCs/>
        <w:szCs w:val="22"/>
      </w:rPr>
      <w:t xml:space="preserve">.; Spec No: </w:t>
    </w:r>
    <w:r w:rsidRPr="008401E2">
      <w:rPr>
        <w:rFonts w:ascii="Book Antiqua" w:hAnsi="Book Antiqua" w:cs="Arial"/>
        <w:b/>
        <w:bCs/>
        <w:szCs w:val="22"/>
      </w:rPr>
      <w:t>CC/NT/W-GIS/DOM/A10/23/04829</w:t>
    </w:r>
  </w:p>
  <w:p w14:paraId="67CB3B45" w14:textId="65C15682" w:rsidR="00BF7E01" w:rsidRPr="008401E2" w:rsidRDefault="00BF7E01" w:rsidP="008401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B64E51"/>
    <w:multiLevelType w:val="hybridMultilevel"/>
    <w:tmpl w:val="A3BCFCE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51078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6DCA"/>
    <w:rsid w:val="00045DED"/>
    <w:rsid w:val="000837E0"/>
    <w:rsid w:val="00180F9F"/>
    <w:rsid w:val="001E0BD0"/>
    <w:rsid w:val="002A601E"/>
    <w:rsid w:val="00316DCA"/>
    <w:rsid w:val="00367CDD"/>
    <w:rsid w:val="003B04C3"/>
    <w:rsid w:val="006A6456"/>
    <w:rsid w:val="007154FD"/>
    <w:rsid w:val="007A27C4"/>
    <w:rsid w:val="007F75E4"/>
    <w:rsid w:val="00814FDB"/>
    <w:rsid w:val="008401E2"/>
    <w:rsid w:val="008802AD"/>
    <w:rsid w:val="00886963"/>
    <w:rsid w:val="009069B9"/>
    <w:rsid w:val="009908E1"/>
    <w:rsid w:val="00A9458C"/>
    <w:rsid w:val="00AC468B"/>
    <w:rsid w:val="00AD3CEC"/>
    <w:rsid w:val="00B05F7E"/>
    <w:rsid w:val="00BF7E01"/>
    <w:rsid w:val="00C02D92"/>
    <w:rsid w:val="00C0622F"/>
    <w:rsid w:val="00C50CEE"/>
    <w:rsid w:val="00C9733B"/>
    <w:rsid w:val="00DC189E"/>
    <w:rsid w:val="00DD7C45"/>
    <w:rsid w:val="00E31455"/>
    <w:rsid w:val="00E45CC8"/>
    <w:rsid w:val="00E7442E"/>
    <w:rsid w:val="00E80167"/>
    <w:rsid w:val="00E92B84"/>
    <w:rsid w:val="00EA0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593627"/>
  <w15:docId w15:val="{CE145280-0C7E-494B-8EA8-2B3B700DC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7442E"/>
    <w:pPr>
      <w:ind w:left="720"/>
      <w:contextualSpacing/>
    </w:pPr>
  </w:style>
  <w:style w:type="paragraph" w:customStyle="1" w:styleId="Default">
    <w:name w:val="Default"/>
    <w:uiPriority w:val="99"/>
    <w:rsid w:val="00E7442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val="en-US" w:bidi="ar-SA"/>
    </w:rPr>
  </w:style>
  <w:style w:type="paragraph" w:styleId="Header">
    <w:name w:val="header"/>
    <w:basedOn w:val="Normal"/>
    <w:link w:val="HeaderChar"/>
    <w:uiPriority w:val="99"/>
    <w:unhideWhenUsed/>
    <w:rsid w:val="00BF7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7E01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BF7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7E01"/>
    <w:rPr>
      <w:rFonts w:cs="Mangal"/>
    </w:rPr>
  </w:style>
  <w:style w:type="paragraph" w:styleId="NoSpacing">
    <w:name w:val="No Spacing"/>
    <w:uiPriority w:val="1"/>
    <w:qFormat/>
    <w:rsid w:val="006A6456"/>
    <w:pPr>
      <w:spacing w:after="0" w:line="240" w:lineRule="auto"/>
    </w:pPr>
    <w:rPr>
      <w:rFonts w:ascii="Calibri" w:eastAsia="Calibri" w:hAnsi="Calibri" w:cs="Times New Roman"/>
      <w:szCs w:val="22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23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Anuj Bhutani {अनुज भूटानी}</dc:creator>
  <cp:keywords/>
  <dc:description/>
  <cp:lastModifiedBy>Vakati Silpa {वाकाटि शिल्पा}</cp:lastModifiedBy>
  <cp:revision>12</cp:revision>
  <cp:lastPrinted>2023-08-03T05:26:00Z</cp:lastPrinted>
  <dcterms:created xsi:type="dcterms:W3CDTF">2022-06-13T05:19:00Z</dcterms:created>
  <dcterms:modified xsi:type="dcterms:W3CDTF">2023-08-03T05:26:00Z</dcterms:modified>
</cp:coreProperties>
</file>